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12" w:rsidRPr="0082749C" w:rsidRDefault="00D46612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7394"/>
        <w:gridCol w:w="7456"/>
      </w:tblGrid>
      <w:tr w:rsidR="007C040D" w:rsidTr="0082749C">
        <w:tblPrEx>
          <w:tblCellMar>
            <w:top w:w="0" w:type="dxa"/>
            <w:bottom w:w="0" w:type="dxa"/>
          </w:tblCellMar>
        </w:tblPrEx>
        <w:trPr>
          <w:trHeight w:hRule="exact" w:val="5101"/>
        </w:trPr>
        <w:tc>
          <w:tcPr>
            <w:tcW w:w="7394" w:type="dxa"/>
          </w:tcPr>
          <w:p w:rsidR="00D46612" w:rsidRDefault="00D46612" w:rsidP="00D4661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E7EA2">
              <w:rPr>
                <w:noProof/>
              </w:rPr>
              <w:drawing>
                <wp:inline distT="0" distB="0" distL="0" distR="0">
                  <wp:extent cx="2428240" cy="3139440"/>
                  <wp:effectExtent l="19050" t="0" r="0" b="0"/>
                  <wp:docPr id="1" name="Рисунок 1" descr="7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313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33776B" w:rsidRDefault="0033776B" w:rsidP="00337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="00F46702">
              <w:rPr>
                <w:sz w:val="28"/>
              </w:rPr>
              <w:t>"НПП "</w:t>
            </w:r>
            <w:r>
              <w:rPr>
                <w:sz w:val="28"/>
              </w:rPr>
              <w:t>А</w:t>
            </w:r>
            <w:r w:rsidR="00E71889">
              <w:rPr>
                <w:sz w:val="28"/>
              </w:rPr>
              <w:t>ксельбант</w:t>
            </w:r>
            <w:r w:rsidR="00F46702">
              <w:rPr>
                <w:sz w:val="28"/>
              </w:rPr>
              <w:t>"</w:t>
            </w:r>
          </w:p>
          <w:p w:rsidR="0033776B" w:rsidRPr="0082749C" w:rsidRDefault="0082749C" w:rsidP="0033776B">
            <w:pPr>
              <w:jc w:val="center"/>
              <w:rPr>
                <w:sz w:val="28"/>
              </w:rPr>
            </w:pPr>
            <w:hyperlink r:id="rId6" w:history="1">
              <w:r w:rsidRPr="0082749C">
                <w:rPr>
                  <w:rStyle w:val="a4"/>
                  <w:sz w:val="28"/>
                  <w:lang w:val="en-US"/>
                </w:rPr>
                <w:t>www</w:t>
              </w:r>
              <w:r w:rsidRPr="0082749C">
                <w:rPr>
                  <w:rStyle w:val="a4"/>
                  <w:sz w:val="28"/>
                </w:rPr>
                <w:t>.</w:t>
              </w:r>
              <w:proofErr w:type="spellStart"/>
              <w:r w:rsidRPr="0082749C">
                <w:rPr>
                  <w:rStyle w:val="a4"/>
                  <w:sz w:val="28"/>
                  <w:lang w:val="en-US"/>
                </w:rPr>
                <w:t>dupl</w:t>
              </w:r>
              <w:proofErr w:type="spellEnd"/>
              <w:r w:rsidRPr="0082749C">
                <w:rPr>
                  <w:rStyle w:val="a4"/>
                  <w:sz w:val="28"/>
                </w:rPr>
                <w:t>.</w:t>
              </w:r>
              <w:proofErr w:type="spellStart"/>
              <w:r w:rsidRPr="0082749C">
                <w:rPr>
                  <w:rStyle w:val="a4"/>
                  <w:sz w:val="28"/>
                  <w:lang w:val="en-US"/>
                </w:rPr>
                <w:t>ru</w:t>
              </w:r>
              <w:proofErr w:type="spellEnd"/>
            </w:hyperlink>
            <w:r w:rsidRPr="0082749C">
              <w:rPr>
                <w:sz w:val="28"/>
              </w:rPr>
              <w:t xml:space="preserve">   </w:t>
            </w:r>
            <w:r>
              <w:rPr>
                <w:sz w:val="28"/>
              </w:rPr>
              <w:t>Тел. +7</w:t>
            </w:r>
            <w:r w:rsidR="005B668F">
              <w:rPr>
                <w:sz w:val="28"/>
              </w:rPr>
              <w:t>(49</w:t>
            </w:r>
            <w:r w:rsidR="00E71889">
              <w:rPr>
                <w:sz w:val="28"/>
              </w:rPr>
              <w:t>5</w:t>
            </w:r>
            <w:r w:rsidR="0033776B" w:rsidRPr="00630C89">
              <w:rPr>
                <w:sz w:val="28"/>
              </w:rPr>
              <w:t xml:space="preserve">) </w:t>
            </w:r>
            <w:r w:rsidR="00E71889">
              <w:rPr>
                <w:sz w:val="28"/>
              </w:rPr>
              <w:t>506 68 69</w:t>
            </w:r>
          </w:p>
          <w:p w:rsidR="0033776B" w:rsidRPr="0033776B" w:rsidRDefault="0033776B">
            <w:pPr>
              <w:jc w:val="center"/>
              <w:rPr>
                <w:sz w:val="28"/>
              </w:rPr>
            </w:pPr>
          </w:p>
          <w:p w:rsidR="007C040D" w:rsidRDefault="007C0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описание и</w:t>
            </w:r>
          </w:p>
          <w:p w:rsidR="007C040D" w:rsidRDefault="007C0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эксплуатации</w:t>
            </w:r>
          </w:p>
          <w:p w:rsidR="007C040D" w:rsidRDefault="007C040D">
            <w:pPr>
              <w:ind w:firstLine="1678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Дуплексное</w:t>
            </w:r>
            <w:r w:rsidR="00D46612">
              <w:rPr>
                <w:b/>
                <w:i/>
                <w:sz w:val="36"/>
              </w:rPr>
              <w:t xml:space="preserve">          </w:t>
            </w:r>
            <w:r w:rsidR="004E7EA2">
              <w:rPr>
                <w:noProof/>
              </w:rPr>
              <w:drawing>
                <wp:inline distT="0" distB="0" distL="0" distR="0">
                  <wp:extent cx="680720" cy="72136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394" t="40900" r="74968" b="2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0D" w:rsidRDefault="007C040D">
            <w:pPr>
              <w:ind w:firstLine="2529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переговорное </w:t>
            </w:r>
          </w:p>
          <w:p w:rsidR="007C040D" w:rsidRDefault="007C040D" w:rsidP="0082749C">
            <w:pPr>
              <w:ind w:firstLine="3521"/>
              <w:jc w:val="both"/>
              <w:rPr>
                <w:sz w:val="28"/>
              </w:rPr>
            </w:pPr>
            <w:r>
              <w:rPr>
                <w:b/>
                <w:i/>
                <w:sz w:val="36"/>
              </w:rPr>
              <w:t>устройство</w:t>
            </w:r>
            <w:r w:rsidR="0082749C">
              <w:rPr>
                <w:b/>
                <w:i/>
                <w:sz w:val="36"/>
              </w:rPr>
              <w:t xml:space="preserve"> </w:t>
            </w:r>
            <w:r>
              <w:rPr>
                <w:b/>
                <w:sz w:val="36"/>
              </w:rPr>
              <w:t>АДФ-04</w:t>
            </w:r>
            <w:r w:rsidR="00F46702">
              <w:rPr>
                <w:b/>
                <w:sz w:val="36"/>
              </w:rPr>
              <w:t>А</w:t>
            </w:r>
            <w:r>
              <w:rPr>
                <w:sz w:val="28"/>
              </w:rPr>
              <w:t xml:space="preserve"> </w:t>
            </w:r>
          </w:p>
          <w:p w:rsidR="0082749C" w:rsidRDefault="0082749C" w:rsidP="0082749C">
            <w:pPr>
              <w:ind w:firstLine="3521"/>
              <w:jc w:val="both"/>
              <w:rPr>
                <w:sz w:val="28"/>
              </w:rPr>
            </w:pPr>
          </w:p>
          <w:p w:rsidR="0082749C" w:rsidRPr="005171B7" w:rsidRDefault="008C62A8" w:rsidP="0082749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 xml:space="preserve">    </w:t>
            </w:r>
            <w:r w:rsidR="0082749C" w:rsidRPr="005171B7">
              <w:rPr>
                <w:b/>
                <w:i/>
                <w:szCs w:val="24"/>
              </w:rPr>
              <w:t>Внимание! Не включать устройство при размещении активного и пассивного блоков в одном помещении! Самовозбуждение (свист, микрофонный эффект) может привести к выходу устройства из строя.</w:t>
            </w:r>
          </w:p>
          <w:p w:rsidR="007C040D" w:rsidRDefault="007C040D">
            <w:pPr>
              <w:jc w:val="center"/>
              <w:rPr>
                <w:sz w:val="28"/>
              </w:rPr>
            </w:pPr>
          </w:p>
          <w:p w:rsidR="007C040D" w:rsidRPr="0082749C" w:rsidRDefault="007C040D">
            <w:pPr>
              <w:jc w:val="center"/>
            </w:pPr>
          </w:p>
        </w:tc>
      </w:tr>
      <w:tr w:rsidR="007C040D" w:rsidTr="0082749C">
        <w:tblPrEx>
          <w:tblCellMar>
            <w:top w:w="0" w:type="dxa"/>
            <w:bottom w:w="0" w:type="dxa"/>
          </w:tblCellMar>
        </w:tblPrEx>
        <w:trPr>
          <w:trHeight w:hRule="exact" w:val="5356"/>
        </w:trPr>
        <w:tc>
          <w:tcPr>
            <w:tcW w:w="7394" w:type="dxa"/>
          </w:tcPr>
          <w:p w:rsidR="007C040D" w:rsidRPr="0082749C" w:rsidRDefault="007C040D"/>
          <w:p w:rsidR="00EE45BD" w:rsidRPr="0082749C" w:rsidRDefault="00EE45BD"/>
          <w:p w:rsidR="0082749C" w:rsidRDefault="007C040D">
            <w:pPr>
              <w:ind w:left="567" w:right="657" w:hanging="56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C040D" w:rsidRDefault="007C040D">
            <w:pPr>
              <w:ind w:left="567" w:right="657" w:hanging="567"/>
              <w:rPr>
                <w:sz w:val="20"/>
              </w:rPr>
            </w:pPr>
            <w:r>
              <w:rPr>
                <w:b/>
                <w:sz w:val="20"/>
              </w:rPr>
              <w:t>П</w:t>
            </w:r>
            <w:r w:rsidR="00EE45BD">
              <w:rPr>
                <w:b/>
                <w:sz w:val="20"/>
              </w:rPr>
              <w:t>римеча</w:t>
            </w:r>
            <w:r>
              <w:rPr>
                <w:b/>
                <w:sz w:val="20"/>
              </w:rPr>
              <w:t xml:space="preserve">ние: </w:t>
            </w:r>
            <w:r>
              <w:rPr>
                <w:sz w:val="20"/>
              </w:rPr>
              <w:t>Для наиболее четкого переключения режимов «приема-передачи» необходимо говорить по очереди  (один аб</w:t>
            </w:r>
            <w:r w:rsidR="00025782">
              <w:rPr>
                <w:sz w:val="20"/>
              </w:rPr>
              <w:t>онент говорит, а другой слушает</w:t>
            </w:r>
            <w:r>
              <w:rPr>
                <w:sz w:val="20"/>
              </w:rPr>
              <w:t>, и наоборот). При ведении переговоров желательно выключать другие источники речи,  например – радиоприемник, телевизор и т</w:t>
            </w:r>
            <w:r w:rsidR="00025782">
              <w:rPr>
                <w:sz w:val="20"/>
              </w:rPr>
              <w:t>.</w:t>
            </w:r>
            <w:r>
              <w:rPr>
                <w:sz w:val="20"/>
              </w:rPr>
              <w:t>д.</w:t>
            </w:r>
          </w:p>
          <w:p w:rsidR="007C040D" w:rsidRDefault="007C040D">
            <w:pPr>
              <w:ind w:left="567" w:right="657" w:hanging="5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Комплект поставки</w:t>
            </w:r>
          </w:p>
          <w:p w:rsidR="007C040D" w:rsidRDefault="007C040D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Активный блок…....................................................... - 1 шт.</w:t>
            </w:r>
          </w:p>
          <w:p w:rsidR="007C040D" w:rsidRDefault="007C040D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Пассивный блок…. …………………........................ - 1 шт.</w:t>
            </w:r>
          </w:p>
          <w:p w:rsidR="007C040D" w:rsidRDefault="007C040D">
            <w:pPr>
              <w:numPr>
                <w:ilvl w:val="0"/>
                <w:numId w:val="1"/>
              </w:numPr>
              <w:ind w:left="283" w:right="657" w:firstLine="284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описание и руководство</w:t>
            </w:r>
          </w:p>
          <w:p w:rsidR="007C040D" w:rsidRDefault="007C040D">
            <w:pPr>
              <w:ind w:right="657"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по эксплуатации......................................................... -1 шт.</w:t>
            </w:r>
          </w:p>
          <w:p w:rsidR="007C040D" w:rsidRDefault="007C040D">
            <w:pPr>
              <w:numPr>
                <w:ilvl w:val="0"/>
                <w:numId w:val="1"/>
              </w:numPr>
              <w:ind w:right="657"/>
              <w:jc w:val="both"/>
              <w:rPr>
                <w:sz w:val="20"/>
              </w:rPr>
            </w:pPr>
            <w:r>
              <w:rPr>
                <w:sz w:val="20"/>
              </w:rPr>
              <w:t>Сетевой адаптер……………………………………. – 1 шт.</w:t>
            </w:r>
          </w:p>
          <w:p w:rsidR="007C040D" w:rsidRDefault="007C040D">
            <w:pPr>
              <w:ind w:right="657"/>
              <w:jc w:val="both"/>
              <w:rPr>
                <w:b/>
                <w:sz w:val="20"/>
              </w:rPr>
            </w:pPr>
          </w:p>
          <w:p w:rsidR="007C040D" w:rsidRDefault="007C040D">
            <w:pPr>
              <w:ind w:right="657"/>
              <w:jc w:val="both"/>
              <w:rPr>
                <w:b/>
                <w:sz w:val="20"/>
              </w:rPr>
            </w:pPr>
          </w:p>
          <w:p w:rsidR="007C040D" w:rsidRDefault="007C040D">
            <w:pPr>
              <w:ind w:right="657"/>
              <w:jc w:val="both"/>
              <w:rPr>
                <w:b/>
                <w:sz w:val="20"/>
              </w:rPr>
            </w:pPr>
          </w:p>
          <w:p w:rsidR="007C040D" w:rsidRDefault="007C040D">
            <w:pPr>
              <w:ind w:right="6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C040D" w:rsidRDefault="007C040D">
            <w:pPr>
              <w:ind w:right="657"/>
              <w:jc w:val="both"/>
              <w:rPr>
                <w:b/>
              </w:rPr>
            </w:pPr>
          </w:p>
        </w:tc>
        <w:tc>
          <w:tcPr>
            <w:tcW w:w="7456" w:type="dxa"/>
          </w:tcPr>
          <w:p w:rsidR="007C040D" w:rsidRDefault="007C040D">
            <w:pPr>
              <w:ind w:right="459"/>
              <w:jc w:val="both"/>
            </w:pPr>
          </w:p>
          <w:p w:rsidR="007C040D" w:rsidRDefault="007C040D">
            <w:pPr>
              <w:ind w:left="544" w:right="459"/>
              <w:jc w:val="both"/>
              <w:rPr>
                <w:sz w:val="20"/>
              </w:rPr>
            </w:pPr>
          </w:p>
          <w:p w:rsidR="007C040D" w:rsidRDefault="007C040D">
            <w:pPr>
              <w:ind w:left="544" w:right="459"/>
              <w:jc w:val="both"/>
              <w:rPr>
                <w:sz w:val="20"/>
              </w:rPr>
            </w:pPr>
          </w:p>
          <w:p w:rsidR="0082749C" w:rsidRDefault="007C040D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7C040D" w:rsidRDefault="007C040D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информации от активного блока на пассивный, и если светодиод загорается красным цветом, устройство переключается на передачу информации от пассивного блока на активный.</w:t>
            </w:r>
          </w:p>
          <w:p w:rsidR="007C040D" w:rsidRDefault="007C040D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>Со стороны активного блока, по индикатору “приём-передача” можно визуально контролировать переключение режимов устройства. В пассивном блоке размещены  только динамик и кнопка включения связи.</w:t>
            </w:r>
          </w:p>
          <w:p w:rsidR="007C040D" w:rsidRDefault="007C040D">
            <w:pPr>
              <w:pStyle w:val="1"/>
            </w:pPr>
            <w:r>
              <w:t>Технические характеристики</w:t>
            </w:r>
          </w:p>
          <w:p w:rsidR="007C040D" w:rsidRDefault="00025782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Напряжение питания – через адаптер от сети 220</w:t>
            </w:r>
            <w:r w:rsidR="007C040D">
              <w:rPr>
                <w:sz w:val="20"/>
              </w:rPr>
              <w:t xml:space="preserve"> В</w:t>
            </w:r>
          </w:p>
          <w:p w:rsidR="007C040D" w:rsidRDefault="007C040D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Диапазон передаваемых звуковых частот – 100 – 6000 Гц</w:t>
            </w:r>
          </w:p>
          <w:p w:rsidR="007C040D" w:rsidRDefault="007C040D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Звуковая мощность – 0,5 Вт</w:t>
            </w:r>
          </w:p>
          <w:p w:rsidR="007C040D" w:rsidRDefault="007C040D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Длина кабеля – до 150 м</w:t>
            </w:r>
          </w:p>
          <w:p w:rsidR="007C040D" w:rsidRDefault="00F46702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Диапазон температур -  -20</w:t>
            </w:r>
            <w:r w:rsidR="007C040D">
              <w:rPr>
                <w:sz w:val="20"/>
              </w:rPr>
              <w:t>…+40</w:t>
            </w:r>
          </w:p>
          <w:p w:rsidR="00F46702" w:rsidRPr="00F46702" w:rsidRDefault="007C040D" w:rsidP="00F46702">
            <w:pPr>
              <w:pStyle w:val="a7"/>
              <w:shd w:val="clear" w:color="auto" w:fill="FFFFFF"/>
              <w:spacing w:before="0" w:beforeAutospacing="0" w:after="0" w:afterAutospacing="0"/>
              <w:ind w:left="100" w:right="100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         </w:t>
            </w:r>
            <w:r w:rsidR="00F46702" w:rsidRPr="00F46702">
              <w:rPr>
                <w:color w:val="000000"/>
                <w:sz w:val="20"/>
                <w:szCs w:val="20"/>
              </w:rPr>
              <w:t>Активный блок и Пассивная колонка - 90х70х18 мм</w:t>
            </w:r>
            <w:r w:rsidR="00F46702" w:rsidRPr="00F46702">
              <w:rPr>
                <w:color w:val="000000"/>
                <w:sz w:val="20"/>
                <w:szCs w:val="20"/>
              </w:rPr>
              <w:br/>
              <w:t xml:space="preserve">          Расстояние между центрами отверстий </w:t>
            </w:r>
            <w:proofErr w:type="spellStart"/>
            <w:r w:rsidR="00F46702" w:rsidRPr="00F46702">
              <w:rPr>
                <w:color w:val="000000"/>
                <w:sz w:val="20"/>
                <w:szCs w:val="20"/>
              </w:rPr>
              <w:t>саморезов</w:t>
            </w:r>
            <w:proofErr w:type="spellEnd"/>
            <w:r w:rsidR="00F46702" w:rsidRPr="00F46702">
              <w:rPr>
                <w:color w:val="000000"/>
                <w:sz w:val="20"/>
                <w:szCs w:val="20"/>
              </w:rPr>
              <w:t xml:space="preserve"> крепления на задней </w:t>
            </w:r>
            <w:r w:rsidR="00F46702">
              <w:rPr>
                <w:color w:val="000000"/>
                <w:sz w:val="20"/>
                <w:szCs w:val="20"/>
              </w:rPr>
              <w:t xml:space="preserve">     </w:t>
            </w:r>
            <w:r w:rsidR="00F46702" w:rsidRPr="00F46702">
              <w:rPr>
                <w:color w:val="000000"/>
                <w:sz w:val="20"/>
                <w:szCs w:val="20"/>
              </w:rPr>
              <w:t>стенке - 36 мм</w:t>
            </w:r>
            <w:r w:rsidR="00F46702">
              <w:rPr>
                <w:color w:val="000000"/>
                <w:sz w:val="20"/>
                <w:szCs w:val="20"/>
              </w:rPr>
              <w:t>,</w:t>
            </w:r>
            <w:r w:rsidR="00F46702" w:rsidRPr="00F46702">
              <w:rPr>
                <w:color w:val="000000"/>
                <w:sz w:val="20"/>
                <w:szCs w:val="20"/>
              </w:rPr>
              <w:t xml:space="preserve">          Диаметр отверстий - 4 мм</w:t>
            </w:r>
          </w:p>
          <w:p w:rsidR="007C040D" w:rsidRDefault="007C040D">
            <w:pPr>
              <w:ind w:firstLin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</w:p>
          <w:p w:rsidR="007C040D" w:rsidRDefault="007C040D">
            <w:pPr>
              <w:rPr>
                <w:b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2</w:t>
            </w:r>
          </w:p>
        </w:tc>
      </w:tr>
      <w:tr w:rsidR="007C040D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7C040D" w:rsidRDefault="007C040D">
            <w:pPr>
              <w:jc w:val="center"/>
              <w:rPr>
                <w:b/>
                <w:i/>
                <w:sz w:val="28"/>
              </w:rPr>
            </w:pPr>
          </w:p>
          <w:p w:rsidR="007C040D" w:rsidRDefault="007C04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Принцип работы и конструктивные</w:t>
            </w:r>
          </w:p>
          <w:p w:rsidR="007C040D" w:rsidRDefault="007C04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особенности устройства</w:t>
            </w:r>
          </w:p>
          <w:p w:rsidR="007C040D" w:rsidRDefault="007C040D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Переговорное устройство обеспечивает двухстороннюю громкоговорящую связь двух абонентов в полудуплексном режиме. Для каждого из абонентов в устройстве имеется свой канал приема – передачи, который управляется голосом. В зависимости от уровня сигнала, поступающего с каждого из микрофонов, включается канал передачи одного абонента и приема другого, либо наоборот.</w:t>
            </w:r>
          </w:p>
          <w:p w:rsidR="007C040D" w:rsidRDefault="007C040D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Устройство состоит из  активного и пассивного блоков, которые соединяются двухпроводным  кабелем. В активном блоке размещены  микрофон, динамик и схема управления обоих каналов. На верхней  части    расположен кнопочный выключатель связи и светодиодный индикатор «приём-передача».  Если светодиод горит желтым цветом, то устройство находится в режиме ожидания (каналы выключены). Он загорается зеленым цветом, когда устройство  включается на передачу </w:t>
            </w:r>
          </w:p>
          <w:p w:rsidR="007C040D" w:rsidRDefault="007C040D">
            <w:pPr>
              <w:ind w:left="284" w:right="515" w:hanging="142"/>
              <w:jc w:val="both"/>
              <w:rPr>
                <w:sz w:val="20"/>
              </w:rPr>
            </w:pPr>
          </w:p>
          <w:p w:rsidR="007C040D" w:rsidRDefault="007C040D">
            <w:pPr>
              <w:ind w:left="284" w:right="515" w:hanging="142"/>
              <w:jc w:val="both"/>
              <w:rPr>
                <w:sz w:val="20"/>
              </w:rPr>
            </w:pPr>
          </w:p>
          <w:p w:rsidR="007C040D" w:rsidRDefault="007C040D">
            <w:pPr>
              <w:ind w:right="515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20"/>
              </w:rPr>
              <w:t xml:space="preserve"> 1</w:t>
            </w:r>
          </w:p>
          <w:p w:rsidR="007C040D" w:rsidRDefault="007C040D">
            <w:pPr>
              <w:jc w:val="both"/>
            </w:pPr>
          </w:p>
        </w:tc>
        <w:tc>
          <w:tcPr>
            <w:tcW w:w="7456" w:type="dxa"/>
          </w:tcPr>
          <w:p w:rsidR="007C040D" w:rsidRDefault="007C040D">
            <w:pPr>
              <w:pStyle w:val="2"/>
            </w:pPr>
          </w:p>
          <w:p w:rsidR="007C040D" w:rsidRDefault="007C040D">
            <w:pPr>
              <w:pStyle w:val="2"/>
            </w:pPr>
            <w:r>
              <w:t>Гарантийные обязательства</w:t>
            </w:r>
          </w:p>
          <w:p w:rsidR="007C040D" w:rsidRDefault="007C040D">
            <w:pPr>
              <w:ind w:left="544" w:right="600"/>
              <w:jc w:val="center"/>
              <w:rPr>
                <w:sz w:val="20"/>
              </w:rPr>
            </w:pPr>
          </w:p>
          <w:p w:rsidR="007C040D" w:rsidRDefault="007C040D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Гарантийный срок эксплуат</w:t>
            </w:r>
            <w:r w:rsidR="00513DB3">
              <w:rPr>
                <w:sz w:val="20"/>
              </w:rPr>
              <w:t>ации переговорного устройства 36</w:t>
            </w:r>
            <w:r>
              <w:rPr>
                <w:sz w:val="20"/>
              </w:rPr>
              <w:t xml:space="preserve"> месяцев со дня продажи. Предприятие-изготовитель отремонтирует или заменит переговорное устройство в случае отказа по вине изготовителя. Претензии не принимаются, и гарантийный ремонт не производится при наличии механических </w:t>
            </w:r>
            <w:r w:rsidR="00025782">
              <w:rPr>
                <w:sz w:val="20"/>
              </w:rPr>
              <w:t xml:space="preserve">и химических </w:t>
            </w:r>
            <w:r>
              <w:rPr>
                <w:sz w:val="20"/>
              </w:rPr>
              <w:t>повреждений устройства</w:t>
            </w:r>
            <w:r w:rsidR="00025782">
              <w:rPr>
                <w:sz w:val="20"/>
              </w:rPr>
              <w:t>, а также со следами самостоятельного ремонта</w:t>
            </w:r>
            <w:r>
              <w:rPr>
                <w:sz w:val="20"/>
              </w:rPr>
              <w:t>.</w:t>
            </w:r>
          </w:p>
          <w:p w:rsidR="007C040D" w:rsidRDefault="007C040D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7C040D" w:rsidRDefault="007C040D">
            <w:pPr>
              <w:ind w:left="544" w:right="6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Свидетельство о приемке</w:t>
            </w:r>
          </w:p>
          <w:p w:rsidR="007C040D" w:rsidRDefault="007C040D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Дуплексное переговорное устройство АДФ-04 соответствует технической документации </w:t>
            </w:r>
            <w:r w:rsidR="00D46612">
              <w:rPr>
                <w:sz w:val="20"/>
              </w:rPr>
              <w:t xml:space="preserve">ТУ 6652-001-69745044-2012 </w:t>
            </w:r>
            <w:r>
              <w:rPr>
                <w:sz w:val="20"/>
              </w:rPr>
              <w:t>и признано годным к эксплуатации.</w:t>
            </w:r>
          </w:p>
          <w:p w:rsidR="007C040D" w:rsidRDefault="007C040D">
            <w:pPr>
              <w:ind w:left="544" w:right="600"/>
              <w:jc w:val="both"/>
              <w:rPr>
                <w:sz w:val="20"/>
              </w:rPr>
            </w:pPr>
          </w:p>
          <w:p w:rsidR="007C040D" w:rsidRDefault="007C040D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 ОТК ____________</w:t>
            </w:r>
          </w:p>
          <w:p w:rsidR="007C040D" w:rsidRDefault="007C040D">
            <w:pPr>
              <w:ind w:left="544" w:right="600"/>
              <w:jc w:val="both"/>
              <w:rPr>
                <w:sz w:val="20"/>
              </w:rPr>
            </w:pPr>
          </w:p>
          <w:p w:rsidR="007C040D" w:rsidRDefault="007C040D">
            <w:pPr>
              <w:ind w:left="544" w:right="175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CE41BE" w:rsidRPr="00EE45BD">
              <w:rPr>
                <w:sz w:val="20"/>
              </w:rPr>
              <w:t xml:space="preserve"> </w:t>
            </w:r>
            <w:r w:rsidR="00CE41BE">
              <w:rPr>
                <w:sz w:val="20"/>
              </w:rPr>
              <w:t>выпуска</w:t>
            </w:r>
            <w:r>
              <w:rPr>
                <w:sz w:val="20"/>
              </w:rPr>
              <w:t xml:space="preserve"> </w:t>
            </w:r>
            <w:r w:rsidR="00513DB3" w:rsidRPr="00A91C2B">
              <w:rPr>
                <w:b/>
                <w:sz w:val="20"/>
              </w:rPr>
              <w:t xml:space="preserve">– </w:t>
            </w:r>
            <w:r w:rsidR="00513DB3">
              <w:rPr>
                <w:b/>
                <w:sz w:val="20"/>
              </w:rPr>
              <w:t>см. последние четыре цифры серийного номера.</w:t>
            </w:r>
            <w:r>
              <w:rPr>
                <w:b/>
                <w:sz w:val="20"/>
              </w:rPr>
              <w:t xml:space="preserve">                                                                          </w:t>
            </w:r>
          </w:p>
          <w:p w:rsidR="007C040D" w:rsidRDefault="007C040D">
            <w:pPr>
              <w:ind w:left="544" w:right="6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6</w:t>
            </w:r>
          </w:p>
          <w:p w:rsidR="007C040D" w:rsidRDefault="007C040D">
            <w:pPr>
              <w:ind w:left="544" w:right="600"/>
            </w:pPr>
          </w:p>
        </w:tc>
      </w:tr>
      <w:tr w:rsidR="007C040D" w:rsidTr="0082749C">
        <w:tblPrEx>
          <w:tblCellMar>
            <w:top w:w="0" w:type="dxa"/>
            <w:bottom w:w="0" w:type="dxa"/>
          </w:tblCellMar>
        </w:tblPrEx>
        <w:trPr>
          <w:trHeight w:hRule="exact" w:val="5494"/>
        </w:trPr>
        <w:tc>
          <w:tcPr>
            <w:tcW w:w="7394" w:type="dxa"/>
          </w:tcPr>
          <w:p w:rsidR="007C040D" w:rsidRDefault="007C040D">
            <w:pPr>
              <w:ind w:right="515"/>
              <w:jc w:val="both"/>
              <w:rPr>
                <w:sz w:val="20"/>
              </w:rPr>
            </w:pPr>
          </w:p>
          <w:p w:rsidR="007C040D" w:rsidRDefault="007C040D">
            <w:pPr>
              <w:ind w:left="426" w:right="515"/>
              <w:jc w:val="center"/>
              <w:rPr>
                <w:b/>
                <w:i/>
                <w:sz w:val="28"/>
              </w:rPr>
            </w:pPr>
          </w:p>
          <w:p w:rsidR="0082749C" w:rsidRDefault="0082749C">
            <w:pPr>
              <w:ind w:left="426" w:right="515"/>
              <w:jc w:val="center"/>
              <w:rPr>
                <w:b/>
                <w:i/>
                <w:sz w:val="28"/>
              </w:rPr>
            </w:pPr>
          </w:p>
          <w:p w:rsidR="0082749C" w:rsidRDefault="0082749C">
            <w:pPr>
              <w:ind w:left="426" w:right="515"/>
              <w:jc w:val="center"/>
              <w:rPr>
                <w:b/>
                <w:i/>
                <w:sz w:val="28"/>
              </w:rPr>
            </w:pPr>
          </w:p>
          <w:p w:rsidR="007C040D" w:rsidRDefault="007C040D">
            <w:pPr>
              <w:ind w:left="426" w:right="5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 к работе</w:t>
            </w:r>
          </w:p>
          <w:p w:rsidR="007C040D" w:rsidRDefault="007C040D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Установить активный и пассивный блоки на рабочее место. </w:t>
            </w:r>
          </w:p>
          <w:p w:rsidR="007C040D" w:rsidRDefault="007C040D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Соединить блоки двухжильным кабелем.</w:t>
            </w:r>
          </w:p>
          <w:p w:rsidR="007C040D" w:rsidRDefault="007C040D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Переключатель  связи на пассивном блоке должен быть в отжатом положении, т. е. «связь выключена».</w:t>
            </w:r>
          </w:p>
          <w:p w:rsidR="007C040D" w:rsidRDefault="007C040D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Подключить сетевой адаптер к активному блоку.</w:t>
            </w:r>
          </w:p>
          <w:p w:rsidR="007C040D" w:rsidRDefault="007C040D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Подключить адаптер к сети 220 В.</w:t>
            </w:r>
          </w:p>
          <w:p w:rsidR="007C040D" w:rsidRDefault="007C040D" w:rsidP="00F46702">
            <w:pPr>
              <w:ind w:left="786" w:right="515"/>
              <w:jc w:val="both"/>
            </w:pPr>
            <w:r>
              <w:rPr>
                <w:sz w:val="20"/>
              </w:rPr>
              <w:t xml:space="preserve">При нажатии кнопки на активном блоке должен загореться светодиод, если этого не происходит, нужно поменять полярность </w:t>
            </w:r>
            <w:r w:rsidR="00025782">
              <w:rPr>
                <w:sz w:val="20"/>
              </w:rPr>
              <w:t>питания от сетевого адаптера</w:t>
            </w:r>
            <w:r>
              <w:rPr>
                <w:sz w:val="20"/>
              </w:rPr>
              <w:t xml:space="preserve">.  </w:t>
            </w:r>
          </w:p>
          <w:p w:rsidR="007C040D" w:rsidRDefault="007C040D">
            <w:pPr>
              <w:ind w:left="426" w:right="515"/>
              <w:jc w:val="both"/>
            </w:pPr>
          </w:p>
          <w:p w:rsidR="007C040D" w:rsidRDefault="007C040D">
            <w:pPr>
              <w:ind w:left="426" w:right="515"/>
              <w:jc w:val="both"/>
            </w:pPr>
            <w:r>
              <w:rPr>
                <w:sz w:val="20"/>
              </w:rPr>
              <w:t>Устройство готово к работе.</w:t>
            </w:r>
          </w:p>
          <w:p w:rsidR="007C040D" w:rsidRDefault="007C040D">
            <w:pPr>
              <w:ind w:right="515"/>
              <w:jc w:val="both"/>
              <w:rPr>
                <w:sz w:val="20"/>
              </w:rPr>
            </w:pPr>
          </w:p>
          <w:p w:rsidR="007C040D" w:rsidRDefault="007C040D">
            <w:pPr>
              <w:ind w:left="426" w:right="515"/>
              <w:jc w:val="both"/>
              <w:rPr>
                <w:b/>
                <w:sz w:val="20"/>
              </w:rPr>
            </w:pPr>
          </w:p>
          <w:p w:rsidR="007C040D" w:rsidRDefault="007C040D">
            <w:pPr>
              <w:ind w:left="426" w:right="515"/>
              <w:jc w:val="both"/>
              <w:rPr>
                <w:b/>
                <w:sz w:val="20"/>
              </w:rPr>
            </w:pPr>
          </w:p>
          <w:p w:rsidR="007C040D" w:rsidRDefault="007C040D">
            <w:pPr>
              <w:ind w:right="515"/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       3</w:t>
            </w:r>
          </w:p>
        </w:tc>
        <w:tc>
          <w:tcPr>
            <w:tcW w:w="7456" w:type="dxa"/>
          </w:tcPr>
          <w:p w:rsidR="007C040D" w:rsidRDefault="007C040D">
            <w:pPr>
              <w:spacing w:line="360" w:lineRule="auto"/>
              <w:ind w:right="742"/>
              <w:rPr>
                <w:b/>
                <w:i/>
                <w:sz w:val="28"/>
              </w:rPr>
            </w:pPr>
          </w:p>
          <w:p w:rsidR="007C040D" w:rsidRDefault="007C040D">
            <w:pPr>
              <w:pStyle w:val="3"/>
            </w:pPr>
          </w:p>
          <w:p w:rsidR="007C040D" w:rsidRDefault="007C040D">
            <w:pPr>
              <w:pStyle w:val="3"/>
            </w:pPr>
          </w:p>
          <w:p w:rsidR="0082749C" w:rsidRDefault="0082749C">
            <w:pPr>
              <w:pStyle w:val="3"/>
            </w:pPr>
          </w:p>
          <w:p w:rsidR="007C040D" w:rsidRDefault="007C040D">
            <w:pPr>
              <w:pStyle w:val="3"/>
            </w:pPr>
            <w:r>
              <w:t>Порядок работы</w:t>
            </w:r>
          </w:p>
          <w:p w:rsidR="007C040D" w:rsidRDefault="007C040D"/>
          <w:p w:rsidR="007C040D" w:rsidRDefault="007C040D">
            <w:pPr>
              <w:ind w:left="544" w:right="742"/>
              <w:jc w:val="both"/>
              <w:rPr>
                <w:sz w:val="20"/>
              </w:rPr>
            </w:pPr>
            <w:r>
              <w:rPr>
                <w:sz w:val="20"/>
              </w:rPr>
              <w:t>Если возникает необходимость проведения переговоров</w:t>
            </w:r>
            <w:r w:rsidR="00025782">
              <w:rPr>
                <w:sz w:val="20"/>
              </w:rPr>
              <w:t>,</w:t>
            </w:r>
            <w:r>
              <w:rPr>
                <w:sz w:val="20"/>
              </w:rPr>
              <w:t xml:space="preserve"> нужно нажать на блоке кнопку. П</w:t>
            </w:r>
            <w:r w:rsidR="00F46702">
              <w:rPr>
                <w:sz w:val="20"/>
              </w:rPr>
              <w:t>ри этом раздастся на активном блоке сигнал вызова</w:t>
            </w:r>
            <w:r>
              <w:rPr>
                <w:sz w:val="20"/>
              </w:rPr>
              <w:t xml:space="preserve"> со </w:t>
            </w:r>
            <w:r w:rsidR="00F46702">
              <w:rPr>
                <w:sz w:val="20"/>
              </w:rPr>
              <w:t>пассивного блока</w:t>
            </w:r>
            <w:r>
              <w:rPr>
                <w:sz w:val="20"/>
              </w:rPr>
              <w:t xml:space="preserve">. </w:t>
            </w:r>
            <w:r w:rsidR="00F46702">
              <w:rPr>
                <w:sz w:val="20"/>
              </w:rPr>
              <w:t xml:space="preserve">При нажатии кнопки на активном блоке можно сразу начинать переговоры. </w:t>
            </w:r>
            <w:r>
              <w:rPr>
                <w:sz w:val="20"/>
              </w:rPr>
              <w:t xml:space="preserve">После </w:t>
            </w:r>
            <w:r w:rsidR="00F46702">
              <w:rPr>
                <w:sz w:val="20"/>
              </w:rPr>
              <w:t>вызова</w:t>
            </w:r>
            <w:r>
              <w:rPr>
                <w:sz w:val="20"/>
              </w:rPr>
              <w:t xml:space="preserve"> абонент со стороны </w:t>
            </w:r>
            <w:r w:rsidR="00F46702">
              <w:rPr>
                <w:sz w:val="20"/>
              </w:rPr>
              <w:t>активного</w:t>
            </w:r>
            <w:r>
              <w:rPr>
                <w:sz w:val="20"/>
              </w:rPr>
              <w:t xml:space="preserve"> блока включает связь, нажав на кнопку переключателя связи. Связь включается и можно вести переговоры.</w:t>
            </w:r>
          </w:p>
          <w:p w:rsidR="007C040D" w:rsidRDefault="007C040D">
            <w:pPr>
              <w:ind w:left="544" w:right="657" w:hanging="5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По окончании переговоров связь может быть выкл</w:t>
            </w:r>
            <w:r w:rsidR="00F46702">
              <w:rPr>
                <w:sz w:val="20"/>
              </w:rPr>
              <w:t xml:space="preserve">ючена. Если               </w:t>
            </w:r>
            <w:r>
              <w:rPr>
                <w:sz w:val="20"/>
              </w:rPr>
              <w:t>связь все время включена, это может создать некоторые неудобства, связанные с проникновением различных звуков, голосов, как со стороны активного, так и пассивного блоков.</w:t>
            </w:r>
          </w:p>
          <w:p w:rsidR="007C040D" w:rsidRDefault="007C040D">
            <w:pPr>
              <w:ind w:left="544" w:right="742"/>
              <w:jc w:val="right"/>
              <w:rPr>
                <w:b/>
                <w:sz w:val="20"/>
              </w:rPr>
            </w:pPr>
          </w:p>
          <w:p w:rsidR="007C040D" w:rsidRDefault="007C040D">
            <w:pPr>
              <w:ind w:left="544" w:right="742"/>
              <w:jc w:val="right"/>
              <w:rPr>
                <w:b/>
                <w:sz w:val="20"/>
              </w:rPr>
            </w:pPr>
          </w:p>
          <w:p w:rsidR="007C040D" w:rsidRDefault="007C040D">
            <w:pPr>
              <w:ind w:right="7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4</w:t>
            </w:r>
          </w:p>
        </w:tc>
      </w:tr>
    </w:tbl>
    <w:p w:rsidR="007C040D" w:rsidRDefault="007C040D"/>
    <w:sectPr w:rsidR="007C040D" w:rsidSect="0082749C">
      <w:pgSz w:w="16840" w:h="11907" w:orient="landscape" w:code="9"/>
      <w:pgMar w:top="426" w:right="907" w:bottom="284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4E5"/>
    <w:multiLevelType w:val="singleLevel"/>
    <w:tmpl w:val="D67259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BB62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78535B"/>
    <w:multiLevelType w:val="singleLevel"/>
    <w:tmpl w:val="13F63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68566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3DB3"/>
    <w:rsid w:val="00025782"/>
    <w:rsid w:val="0033776B"/>
    <w:rsid w:val="004E7EA2"/>
    <w:rsid w:val="00513DB3"/>
    <w:rsid w:val="005559FC"/>
    <w:rsid w:val="005B668F"/>
    <w:rsid w:val="007C040D"/>
    <w:rsid w:val="0082749C"/>
    <w:rsid w:val="008C62A8"/>
    <w:rsid w:val="00972136"/>
    <w:rsid w:val="00CE41BE"/>
    <w:rsid w:val="00D46612"/>
    <w:rsid w:val="00E71889"/>
    <w:rsid w:val="00EE45BD"/>
    <w:rsid w:val="00F4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left="426" w:right="515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ind w:right="60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ind w:left="544" w:right="742"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567" w:right="657" w:hanging="567"/>
      <w:jc w:val="both"/>
    </w:pPr>
    <w:rPr>
      <w:sz w:val="20"/>
    </w:rPr>
  </w:style>
  <w:style w:type="character" w:styleId="a4">
    <w:name w:val="Hyperlink"/>
    <w:basedOn w:val="a0"/>
    <w:uiPriority w:val="99"/>
    <w:unhideWhenUsed/>
    <w:rsid w:val="00827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670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p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и</vt:lpstr>
    </vt:vector>
  </TitlesOfParts>
  <Company/>
  <LinksUpToDate>false</LinksUpToDate>
  <CharactersWithSpaces>4820</CharactersWithSpaces>
  <SharedDoc>false</SharedDoc>
  <HLinks>
    <vt:vector size="6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http://www.dupl.ru/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и</dc:title>
  <dc:creator>Глюк</dc:creator>
  <cp:lastModifiedBy>jj</cp:lastModifiedBy>
  <cp:revision>3</cp:revision>
  <cp:lastPrinted>2000-10-10T10:58:00Z</cp:lastPrinted>
  <dcterms:created xsi:type="dcterms:W3CDTF">2018-04-24T19:00:00Z</dcterms:created>
  <dcterms:modified xsi:type="dcterms:W3CDTF">2018-04-24T19:07:00Z</dcterms:modified>
</cp:coreProperties>
</file>